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2774" w14:textId="0A259E03" w:rsidR="00F63743" w:rsidRPr="00B403DB" w:rsidRDefault="007D3274" w:rsidP="00F63743">
      <w:pPr>
        <w:jc w:val="both"/>
        <w:rPr>
          <w:iCs/>
          <w:lang w:val="pl-PL"/>
        </w:rPr>
      </w:pPr>
      <w:bookmarkStart w:id="0" w:name="_GoBack"/>
      <w:bookmarkEnd w:id="0"/>
      <w:r w:rsidRPr="00B403DB">
        <w:rPr>
          <w:iCs/>
          <w:lang w:val="pl-PL"/>
        </w:rPr>
        <w:t xml:space="preserve">             </w:t>
      </w:r>
      <w:r w:rsidR="008B09C6">
        <w:rPr>
          <w:iCs/>
          <w:noProof/>
          <w:lang w:val="en-US" w:eastAsia="en-US"/>
        </w:rPr>
        <w:drawing>
          <wp:inline distT="0" distB="0" distL="0" distR="0" wp14:anchorId="069F2799" wp14:editId="31BBBBEF">
            <wp:extent cx="5842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2775" w14:textId="77777777" w:rsidR="00F63743" w:rsidRDefault="007D3274" w:rsidP="00F63743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lastRenderedPageBreak/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6283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069F2776" w14:textId="77777777" w:rsidR="00F63743" w:rsidRDefault="008B09C6" w:rsidP="00F63743">
      <w:pPr>
        <w:rPr>
          <w:rFonts w:ascii="CarolinaBar-B39-25F2" w:hAnsi="CarolinaBar-B39-25F2"/>
          <w:sz w:val="32"/>
          <w:szCs w:val="32"/>
        </w:rPr>
        <w:sectPr w:rsidR="00F63743" w:rsidSect="00F63743"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</w:p>
    <w:p w14:paraId="069F2777" w14:textId="77777777" w:rsidR="00F63743" w:rsidRPr="00C57EEA" w:rsidRDefault="007D3274" w:rsidP="00F63743">
      <w:pPr>
        <w:jc w:val="both"/>
        <w:rPr>
          <w:rFonts w:ascii="Times New Roman" w:hAnsi="Times New Roman" w:cs="Times New Roman"/>
          <w:bCs/>
          <w:iCs/>
          <w:lang w:val="sv-SE"/>
        </w:rPr>
      </w:pPr>
      <w:r w:rsidRPr="00EE4F26">
        <w:lastRenderedPageBreak/>
        <w:br/>
      </w:r>
      <w:r w:rsidRPr="00C57EEA">
        <w:rPr>
          <w:rFonts w:ascii="Times New Roman" w:hAnsi="Times New Roman" w:cs="Times New Roman"/>
          <w:bCs/>
          <w:iCs/>
          <w:lang w:val="sv-SE"/>
        </w:rPr>
        <w:t>REPUBLIKA HRVATSKA</w:t>
      </w:r>
    </w:p>
    <w:p w14:paraId="069F2778" w14:textId="77777777" w:rsidR="00F63743" w:rsidRPr="00C57EEA" w:rsidRDefault="007D3274" w:rsidP="00F63743">
      <w:pPr>
        <w:jc w:val="both"/>
        <w:rPr>
          <w:rFonts w:ascii="Times New Roman" w:hAnsi="Times New Roman" w:cs="Times New Roman"/>
          <w:bCs/>
          <w:iCs/>
          <w:lang w:val="sv-SE"/>
        </w:rPr>
      </w:pPr>
      <w:r w:rsidRPr="00C57EEA">
        <w:rPr>
          <w:rFonts w:ascii="Times New Roman" w:hAnsi="Times New Roman" w:cs="Times New Roman"/>
          <w:bCs/>
          <w:iCs/>
          <w:lang w:val="sv-SE"/>
        </w:rPr>
        <w:t>MINISTARSTVO FINANCIJA</w:t>
      </w:r>
    </w:p>
    <w:p w14:paraId="069F2779" w14:textId="77777777" w:rsidR="00F63743" w:rsidRPr="00C57EEA" w:rsidRDefault="007D3274" w:rsidP="00F63743">
      <w:pPr>
        <w:jc w:val="both"/>
        <w:rPr>
          <w:rFonts w:ascii="Times New Roman" w:hAnsi="Times New Roman" w:cs="Times New Roman"/>
          <w:bCs/>
          <w:iCs/>
        </w:rPr>
      </w:pPr>
      <w:r w:rsidRPr="00C57EEA">
        <w:rPr>
          <w:rFonts w:ascii="Times New Roman" w:hAnsi="Times New Roman" w:cs="Times New Roman"/>
          <w:bCs/>
          <w:iCs/>
        </w:rPr>
        <w:t>FINANCIJSKI INSPEKTORAT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844"/>
        <w:gridCol w:w="3805"/>
      </w:tblGrid>
      <w:tr w:rsidR="00873C21" w14:paraId="069F277B" w14:textId="77777777" w:rsidTr="007D3274">
        <w:trPr>
          <w:gridAfter w:val="2"/>
          <w:wAfter w:w="4649" w:type="dxa"/>
        </w:trPr>
        <w:tc>
          <w:tcPr>
            <w:tcW w:w="4361" w:type="dxa"/>
            <w:shd w:val="clear" w:color="auto" w:fill="auto"/>
          </w:tcPr>
          <w:p w14:paraId="069F277A" w14:textId="684986C7" w:rsidR="00EB4515" w:rsidRPr="00C57EEA" w:rsidRDefault="008B09C6" w:rsidP="00947C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D3274" w:rsidRPr="007D3274" w14:paraId="3EEA12C0" w14:textId="77777777" w:rsidTr="007D3274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5205" w:type="dxa"/>
        </w:trPr>
        <w:tc>
          <w:tcPr>
            <w:tcW w:w="3805" w:type="dxa"/>
          </w:tcPr>
          <w:p w14:paraId="5A99F1E5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3274">
              <w:rPr>
                <w:rFonts w:ascii="Times New Roman" w:hAnsi="Times New Roman"/>
                <w:b/>
                <w:sz w:val="24"/>
              </w:rPr>
              <w:t>Hrvatska odvjetnička komora</w:t>
            </w:r>
          </w:p>
          <w:p w14:paraId="5EE1BE06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3274">
              <w:rPr>
                <w:rFonts w:ascii="Times New Roman" w:hAnsi="Times New Roman"/>
                <w:b/>
                <w:sz w:val="24"/>
              </w:rPr>
              <w:t>Hrvatska komora javnih bilježnika</w:t>
            </w:r>
          </w:p>
          <w:p w14:paraId="1543D23C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3274">
              <w:rPr>
                <w:rFonts w:ascii="Times New Roman" w:hAnsi="Times New Roman"/>
                <w:b/>
                <w:sz w:val="24"/>
              </w:rPr>
              <w:t>Hrvatska gospodarska komora</w:t>
            </w:r>
          </w:p>
          <w:p w14:paraId="65E50A68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3274">
              <w:rPr>
                <w:rFonts w:ascii="Times New Roman" w:hAnsi="Times New Roman"/>
                <w:b/>
                <w:sz w:val="24"/>
              </w:rPr>
              <w:t>Hrvatska revizorska komora</w:t>
            </w:r>
          </w:p>
          <w:p w14:paraId="1ECD23FB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3274">
              <w:rPr>
                <w:rFonts w:ascii="Times New Roman" w:hAnsi="Times New Roman"/>
                <w:b/>
                <w:sz w:val="24"/>
              </w:rPr>
              <w:t>Hrvatska komora poreznih savjetnika</w:t>
            </w:r>
          </w:p>
        </w:tc>
      </w:tr>
      <w:tr w:rsidR="007D3274" w:rsidRPr="007D3274" w14:paraId="48088D62" w14:textId="77777777" w:rsidTr="007D3274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5205" w:type="dxa"/>
        </w:trPr>
        <w:tc>
          <w:tcPr>
            <w:tcW w:w="3805" w:type="dxa"/>
          </w:tcPr>
          <w:p w14:paraId="34DE1CED" w14:textId="77777777" w:rsidR="007D3274" w:rsidRPr="007D3274" w:rsidRDefault="007D3274" w:rsidP="003302A1">
            <w:pPr>
              <w:pStyle w:val="Evidencij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B24C7EA" w14:textId="20F2D755" w:rsidR="007D3274" w:rsidRPr="007D3274" w:rsidRDefault="007D3274" w:rsidP="007D3274">
      <w:pPr>
        <w:tabs>
          <w:tab w:val="left" w:pos="3402"/>
        </w:tabs>
        <w:spacing w:line="276" w:lineRule="auto"/>
        <w:rPr>
          <w:rFonts w:ascii="Times New Roman" w:hAnsi="Times New Roman" w:cs="Times New Roman"/>
          <w:b/>
        </w:rPr>
      </w:pPr>
      <w:r w:rsidRPr="007D327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</w:r>
      <w:r w:rsidRPr="007D3274">
        <w:rPr>
          <w:rFonts w:ascii="Times New Roman" w:hAnsi="Times New Roman" w:cs="Times New Roman"/>
          <w:b/>
        </w:rPr>
        <w:tab/>
        <w:t xml:space="preserve">                                        </w:t>
      </w:r>
    </w:p>
    <w:p w14:paraId="1D161149" w14:textId="0BBCBA93" w:rsidR="007D3274" w:rsidRPr="007D3274" w:rsidRDefault="007D3274" w:rsidP="007D3274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  <w:b/>
        </w:rPr>
        <w:t>Predmet:</w:t>
      </w:r>
      <w:r w:rsidRPr="007D3274">
        <w:rPr>
          <w:rFonts w:ascii="Times New Roman" w:hAnsi="Times New Roman" w:cs="Times New Roman"/>
          <w:b/>
        </w:rPr>
        <w:tab/>
        <w:t>Prilagodba određenih nadzornih aktivnosti te očekivanja vezanih uz sprječavanje pranja novca i financiranja terorizma kao reakcija na pandemiju koronavirusa (COVID-19)</w:t>
      </w:r>
    </w:p>
    <w:p w14:paraId="060FEDF8" w14:textId="77777777" w:rsidR="007D3274" w:rsidRPr="007D3274" w:rsidRDefault="007D3274" w:rsidP="007D3274">
      <w:pPr>
        <w:spacing w:line="276" w:lineRule="auto"/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</w:rPr>
        <w:t xml:space="preserve">Poštovani, </w:t>
      </w:r>
    </w:p>
    <w:p w14:paraId="384C0A73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>uzimajući u obzir izvanredne okolnosti uzrokovane pandemijom koronavirusa (COVID-19), vezano uz sprječavanje pranja novca i financiranja terorizma u nastavku vas izvješćujemo o prilagodbi određenih nadzornih aktivnosti i nadzornim očekivanjima vezanim uz sprječavanje pranja novca i financiranja terorizma (dalje u tekstu: SPNFT).</w:t>
      </w:r>
    </w:p>
    <w:p w14:paraId="58399F43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59FC41A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D3274">
        <w:rPr>
          <w:rFonts w:ascii="Times New Roman" w:hAnsi="Times New Roman" w:cs="Times New Roman"/>
          <w:b/>
          <w:color w:val="auto"/>
        </w:rPr>
        <w:t>Prilagodba određenih nadzornih aktivnosti iz područja SPNFT-a</w:t>
      </w:r>
    </w:p>
    <w:p w14:paraId="4D32EF76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6196FCA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>Financijski inspektorat (dalje u tekstu: FI) nadzorom provjerava provodi li obveznik sve mjere koje je obvezan provoditi na osnovi Zakona o sprječavanju pranja novca i financiranja terorizma ("Narodne novine, broj 108/2017 i 39/2019; dalje u tekstu: ZSPNFT), a radi sprječavanja korištenja financijskog sustava, kao i sektora pružatelja profesionalnih usluga i drugih nefinancijskih sektora, za pranje novca i financiranje terorizma.</w:t>
      </w:r>
    </w:p>
    <w:p w14:paraId="08E25DC5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3409AF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 xml:space="preserve">FI provodi nadzor poslovanja obveznika iz nadležnosti na osnovi usvojenog plana nadzora, ali zbog okolnosti uzrokovanih pandemijom koronavirusa (COVID-19), od 1. travnja 2020., pa sve dok se okolnosti ne promijene, FI neće provoditi neposredne nadzore poslovanja SPNFT-a, osim u iznimnim slučajevima. </w:t>
      </w:r>
    </w:p>
    <w:p w14:paraId="3A64647A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86F775C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D3274">
        <w:rPr>
          <w:rFonts w:ascii="Times New Roman" w:hAnsi="Times New Roman" w:cs="Times New Roman"/>
          <w:b/>
          <w:color w:val="auto"/>
        </w:rPr>
        <w:t>Nadzorna očekivanja vezana uz SPNFT</w:t>
      </w:r>
    </w:p>
    <w:p w14:paraId="2742D280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9923651" w14:textId="77777777" w:rsidR="007D3274" w:rsidRPr="007D3274" w:rsidRDefault="007D3274" w:rsidP="007D3274">
      <w:pPr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</w:rPr>
        <w:t>Očuvanje cjelovitosti, učinkovitosti i stabilnosti financijskih tržišta zajednički je cilj okvira Europske unije za SPNFT. Vezano uz navedeno FI naglašava kako je financijski kriminal neprihvatljiv i u doba krize kao što je epidemija korona virusa te je bitno nastaviti uspostavljati i održavati učinkovite sustave i kontrole za SPNFT kako bi se osiguralo da financijski sustav Republike Hrvatske, kao  i nefinancijski sektori, ne budu zloporabljeni u svrhe pranja novca ili financiranja terorizma.</w:t>
      </w:r>
    </w:p>
    <w:p w14:paraId="093A95A6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8BBB14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lastRenderedPageBreak/>
        <w:t xml:space="preserve">S obzirom da se većina gospodarstava suočava s padom aktivnosti, financijski tijekovi će se vjerojatno smanjiti. Međutim, za očekivati je da će se nezakonite transakcije i dalje provoditi, a već postoje i neke naznake o porastu kibernetičkog kriminala povezanog s COVID-19, obmanama i prijevarama ranjivih ljudi i trgovačkih društava, lažnim kampanjama prikupljanja sredstava te kriminalnim mrežama koje prodaju robu za koju postoji povećana potražnja po višoj cijeni. Također je za očekivati da će se pojaviti nove tehnike i novi kanali pranja novca. </w:t>
      </w:r>
    </w:p>
    <w:p w14:paraId="3694A377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F4FE4B8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>S obzirom na sve naprijed navedeno svi obveznici upućuju se da u okolnostima pandemije koronavirusa (COVID-19) posebnu pažnju posvete sljedećem:</w:t>
      </w:r>
    </w:p>
    <w:p w14:paraId="3706548A" w14:textId="77777777" w:rsidR="007D3274" w:rsidRPr="007D3274" w:rsidRDefault="007D3274" w:rsidP="007D32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E608FA" w14:textId="77777777" w:rsidR="007D3274" w:rsidRPr="007D3274" w:rsidRDefault="007D3274" w:rsidP="007D327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>praćenju novih trendova i tipologije pranja novca i financiranja terorizma koje bi se mogle promijeniti zbog trenutnih izvanrednih okolnosti</w:t>
      </w:r>
      <w:r w:rsidRPr="007D3274">
        <w:rPr>
          <w:rFonts w:ascii="Times New Roman" w:hAnsi="Times New Roman" w:cs="Times New Roman"/>
        </w:rPr>
        <w:t xml:space="preserve"> </w:t>
      </w:r>
    </w:p>
    <w:p w14:paraId="7BF3264C" w14:textId="77777777" w:rsidR="007D3274" w:rsidRPr="007D3274" w:rsidRDefault="007D3274" w:rsidP="007D327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>ažuriranju svojih procjena rizika od pranja novca i financiranja terorizma, posebno ako uoče nove tehnike pranja novca i financiranja terorizma nastale u okolnostima pandemije COVID-19 (primjeri uključuju korištenje proizvoda i usluga koji postaju manje privlačni za svrhe pranja novca zbog smanjenja prihoda i dr.)</w:t>
      </w:r>
    </w:p>
    <w:p w14:paraId="3A113CC0" w14:textId="77777777" w:rsidR="007D3274" w:rsidRPr="007D3274" w:rsidRDefault="007D3274" w:rsidP="007D327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</w:rPr>
        <w:t>praćenju poslovnih odnosa/transakcija te identificiranju neobičnih i sumnjivih obrazaca u ponašanju stranke i njezinih financijskih tokova (neubičajene, velike, složene transakcije)</w:t>
      </w:r>
    </w:p>
    <w:p w14:paraId="4254776E" w14:textId="77777777" w:rsidR="007D3274" w:rsidRPr="007D3274" w:rsidRDefault="007D3274" w:rsidP="007D327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D3274">
        <w:rPr>
          <w:rFonts w:ascii="Times New Roman" w:hAnsi="Times New Roman" w:cs="Times New Roman"/>
          <w:color w:val="auto"/>
        </w:rPr>
        <w:t xml:space="preserve">poduzimanju mjera prilagođenih riziku kako bi utvrdile zakonito porijeklo sredstava, naročito ako se radi o strankama iz sektora za koje je poznato da su pogođeni gospodarskim padom i mjerama ublažavanja posljedica izazvanih koronavirusom (primjerice gotovinsko intenzivno poslovanje u sektoru maloprodaje, trgovačka društva uključena u međunarodnu trgovinu i sve vrste fiktivnih društava u sektorima suočenim s gospodarskim padom koja će zadržati sličan volumen financijskih tijekova bez prisutnosti stvarne gospodarske aktivnosti) </w:t>
      </w:r>
    </w:p>
    <w:p w14:paraId="3D767D18" w14:textId="4ED49190" w:rsidR="007D3274" w:rsidRPr="007D3274" w:rsidRDefault="007D3274" w:rsidP="007D327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nastavku</w:t>
      </w:r>
      <w:r w:rsidRPr="007D3274">
        <w:rPr>
          <w:rFonts w:ascii="Times New Roman" w:hAnsi="Times New Roman" w:cs="Times New Roman"/>
          <w:color w:val="auto"/>
        </w:rPr>
        <w:t xml:space="preserve"> obavještavanja Ureda za sprječavanje pranja novca o sumnjivim transakcijama sredstvima i osobama.</w:t>
      </w:r>
    </w:p>
    <w:p w14:paraId="05A9DC29" w14:textId="77777777" w:rsidR="007D3274" w:rsidRPr="007D3274" w:rsidRDefault="007D3274" w:rsidP="007D3274">
      <w:pPr>
        <w:rPr>
          <w:rFonts w:ascii="Times New Roman" w:hAnsi="Times New Roman" w:cs="Times New Roman"/>
        </w:rPr>
      </w:pPr>
    </w:p>
    <w:p w14:paraId="606FCD96" w14:textId="77777777" w:rsidR="007D3274" w:rsidRPr="007D3274" w:rsidRDefault="007D3274" w:rsidP="007D3274">
      <w:pPr>
        <w:rPr>
          <w:rFonts w:ascii="Times New Roman" w:hAnsi="Times New Roman" w:cs="Times New Roman"/>
          <w:lang w:val="en-GB"/>
        </w:rPr>
      </w:pPr>
      <w:r w:rsidRPr="007D3274">
        <w:rPr>
          <w:rFonts w:ascii="Times New Roman" w:hAnsi="Times New Roman" w:cs="Times New Roman"/>
        </w:rPr>
        <w:t>U nastavku dajemo poveznice na upozorenja i dokumentene drugih Europskih i međunarodnih organizacija povezane s financijskim i drugim kriminalom tijekom pandemije koronavirusa (COVID -19).</w:t>
      </w:r>
    </w:p>
    <w:p w14:paraId="3C2ED247" w14:textId="77777777" w:rsidR="007D3274" w:rsidRPr="007D3274" w:rsidRDefault="008B09C6" w:rsidP="007D3274">
      <w:pPr>
        <w:rPr>
          <w:rFonts w:ascii="Times New Roman" w:hAnsi="Times New Roman" w:cs="Times New Roman"/>
          <w:color w:val="5B9BD5"/>
          <w:lang w:val="en-US"/>
        </w:rPr>
      </w:pPr>
      <w:hyperlink r:id="rId10" w:history="1">
        <w:r w:rsidR="007D3274" w:rsidRPr="007D3274">
          <w:rPr>
            <w:rStyle w:val="Hyperlink"/>
            <w:rFonts w:ascii="Times New Roman" w:hAnsi="Times New Roman" w:cs="Times New Roman"/>
            <w:color w:val="5B9BD5"/>
            <w:lang w:val="en-US"/>
          </w:rPr>
          <w:t>https://eba.europa.eu/sites/default/documents/files/document_library/News%20and%20Press/Press%20Room/Press%20Releases/2020/EBA%20provides%20additional%20clarity%20on%20measures%20to%20mitigate%20the%20impact%20of%20COVID-19%20on%20the%20EU%20banking%20sector/Statement%20on%20actions%20to%20mitigate%20financial%20crime%20risks%20in%20the%20COVID-19%20pandemic.pdf</w:t>
        </w:r>
      </w:hyperlink>
    </w:p>
    <w:p w14:paraId="6B45BF03" w14:textId="77777777" w:rsidR="007D3274" w:rsidRPr="007D3274" w:rsidRDefault="008B09C6" w:rsidP="007D3274">
      <w:pPr>
        <w:rPr>
          <w:rFonts w:ascii="Times New Roman" w:hAnsi="Times New Roman" w:cs="Times New Roman"/>
          <w:color w:val="5B9BD5"/>
          <w:lang w:val="en-US"/>
        </w:rPr>
      </w:pPr>
      <w:hyperlink r:id="rId11" w:history="1">
        <w:r w:rsidR="007D3274" w:rsidRPr="007D3274">
          <w:rPr>
            <w:rStyle w:val="Hyperlink"/>
            <w:rFonts w:ascii="Times New Roman" w:hAnsi="Times New Roman" w:cs="Times New Roman"/>
            <w:color w:val="5B9BD5"/>
            <w:lang w:val="en-US"/>
          </w:rPr>
          <w:t>https://www.interpol.int/en/News-and-Events/News/2020/INTERPOL-warns-of-financial-fraud-linked-to-COVID-19</w:t>
        </w:r>
      </w:hyperlink>
    </w:p>
    <w:p w14:paraId="6DBDD265" w14:textId="77777777" w:rsidR="007D3274" w:rsidRPr="007D3274" w:rsidRDefault="008B09C6" w:rsidP="007D3274">
      <w:pPr>
        <w:rPr>
          <w:rFonts w:ascii="Times New Roman" w:hAnsi="Times New Roman" w:cs="Times New Roman"/>
          <w:color w:val="5B9BD5"/>
          <w:lang w:val="en-US"/>
        </w:rPr>
      </w:pPr>
      <w:hyperlink r:id="rId12" w:history="1">
        <w:r w:rsidR="007D3274" w:rsidRPr="007D3274">
          <w:rPr>
            <w:rStyle w:val="Hyperlink"/>
            <w:rFonts w:ascii="Times New Roman" w:hAnsi="Times New Roman" w:cs="Times New Roman"/>
            <w:color w:val="5B9BD5"/>
            <w:lang w:val="en-GB"/>
          </w:rPr>
          <w:t>https://www.europol.europa.eu/publications-documents/pandemic-profiteering-how-criminals-exploit-covid-19-crisis</w:t>
        </w:r>
      </w:hyperlink>
    </w:p>
    <w:p w14:paraId="263D53B8" w14:textId="77777777" w:rsidR="007D3274" w:rsidRPr="007D3274" w:rsidRDefault="007D3274" w:rsidP="007D3274">
      <w:pPr>
        <w:rPr>
          <w:rFonts w:ascii="Times New Roman" w:hAnsi="Times New Roman" w:cs="Times New Roman"/>
          <w:color w:val="5B9BD5"/>
          <w:lang w:val="en-GB"/>
        </w:rPr>
      </w:pPr>
    </w:p>
    <w:p w14:paraId="19C18A65" w14:textId="77777777" w:rsidR="007D3274" w:rsidRPr="007D3274" w:rsidRDefault="007D3274" w:rsidP="007D3274">
      <w:pPr>
        <w:rPr>
          <w:rFonts w:ascii="Times New Roman" w:hAnsi="Times New Roman" w:cs="Times New Roman"/>
          <w:color w:val="5B9BD5"/>
          <w:lang w:val="en-GB"/>
        </w:rPr>
      </w:pPr>
      <w:r w:rsidRPr="007D3274">
        <w:rPr>
          <w:rFonts w:ascii="Times New Roman" w:hAnsi="Times New Roman" w:cs="Times New Roman"/>
          <w:color w:val="5B9BD5"/>
          <w:lang w:val="en-GB"/>
        </w:rPr>
        <w:t>http://www.fatf-gafi.org/publications/fatfgeneral/documents/statement-covid-19.html</w:t>
      </w:r>
    </w:p>
    <w:p w14:paraId="069F277C" w14:textId="77777777" w:rsidR="00EB4515" w:rsidRPr="007D3274" w:rsidRDefault="008B09C6" w:rsidP="00F63743">
      <w:pPr>
        <w:jc w:val="both"/>
        <w:rPr>
          <w:rFonts w:ascii="Times New Roman" w:hAnsi="Times New Roman" w:cs="Times New Roman"/>
          <w:bCs/>
          <w:iCs/>
        </w:rPr>
      </w:pPr>
    </w:p>
    <w:p w14:paraId="069F277E" w14:textId="77777777" w:rsidR="00F63743" w:rsidRPr="007D3274" w:rsidRDefault="007D3274" w:rsidP="00F63743">
      <w:pPr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</w:rPr>
        <w:t xml:space="preserve">KLASA: </w:t>
      </w:r>
      <w:r w:rsidRPr="007D3274">
        <w:rPr>
          <w:rFonts w:ascii="Times New Roman" w:hAnsi="Times New Roman" w:cs="Times New Roman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7D3274">
        <w:rPr>
          <w:rFonts w:ascii="Times New Roman" w:hAnsi="Times New Roman" w:cs="Times New Roman"/>
        </w:rPr>
        <w:instrText xml:space="preserve"> FORMTEXT </w:instrText>
      </w:r>
      <w:r w:rsidRPr="007D3274">
        <w:rPr>
          <w:rFonts w:ascii="Times New Roman" w:hAnsi="Times New Roman" w:cs="Times New Roman"/>
        </w:rPr>
      </w:r>
      <w:r w:rsidRPr="007D3274">
        <w:rPr>
          <w:rFonts w:ascii="Times New Roman" w:hAnsi="Times New Roman" w:cs="Times New Roman"/>
        </w:rPr>
        <w:fldChar w:fldCharType="separate"/>
      </w:r>
      <w:r w:rsidRPr="007D3274">
        <w:rPr>
          <w:rFonts w:ascii="Times New Roman" w:hAnsi="Times New Roman" w:cs="Times New Roman"/>
        </w:rPr>
        <w:t>440-02/20-01/6</w:t>
      </w:r>
      <w:r w:rsidRPr="007D3274">
        <w:rPr>
          <w:rFonts w:ascii="Times New Roman" w:hAnsi="Times New Roman" w:cs="Times New Roman"/>
        </w:rPr>
        <w:fldChar w:fldCharType="end"/>
      </w:r>
      <w:bookmarkEnd w:id="2"/>
    </w:p>
    <w:p w14:paraId="069F277F" w14:textId="77777777" w:rsidR="00F63743" w:rsidRPr="007D3274" w:rsidRDefault="007D3274" w:rsidP="00F63743">
      <w:pPr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</w:rPr>
        <w:t xml:space="preserve">URBROJ: </w:t>
      </w:r>
      <w:r w:rsidRPr="007D3274">
        <w:rPr>
          <w:rFonts w:ascii="Times New Roman" w:hAnsi="Times New Roman" w:cs="Times New Roman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7D3274">
        <w:rPr>
          <w:rFonts w:ascii="Times New Roman" w:hAnsi="Times New Roman" w:cs="Times New Roman"/>
        </w:rPr>
        <w:instrText xml:space="preserve"> FORMTEXT </w:instrText>
      </w:r>
      <w:r w:rsidRPr="007D3274">
        <w:rPr>
          <w:rFonts w:ascii="Times New Roman" w:hAnsi="Times New Roman" w:cs="Times New Roman"/>
        </w:rPr>
      </w:r>
      <w:r w:rsidRPr="007D3274">
        <w:rPr>
          <w:rFonts w:ascii="Times New Roman" w:hAnsi="Times New Roman" w:cs="Times New Roman"/>
        </w:rPr>
        <w:fldChar w:fldCharType="separate"/>
      </w:r>
      <w:r w:rsidRPr="007D3274">
        <w:rPr>
          <w:rFonts w:ascii="Times New Roman" w:hAnsi="Times New Roman" w:cs="Times New Roman"/>
        </w:rPr>
        <w:t>513-08-01/019-20-2</w:t>
      </w:r>
      <w:r w:rsidRPr="007D3274">
        <w:rPr>
          <w:rFonts w:ascii="Times New Roman" w:hAnsi="Times New Roman" w:cs="Times New Roman"/>
        </w:rPr>
        <w:fldChar w:fldCharType="end"/>
      </w:r>
      <w:bookmarkEnd w:id="3"/>
    </w:p>
    <w:p w14:paraId="069F2780" w14:textId="77777777" w:rsidR="00F63743" w:rsidRPr="007D3274" w:rsidRDefault="008B09C6" w:rsidP="00F63743">
      <w:pPr>
        <w:rPr>
          <w:rFonts w:ascii="Times New Roman" w:hAnsi="Times New Roman" w:cs="Times New Roman"/>
        </w:rPr>
      </w:pPr>
    </w:p>
    <w:p w14:paraId="069F2782" w14:textId="7226BBA7" w:rsidR="00F63743" w:rsidRPr="00C57EEA" w:rsidRDefault="007D3274" w:rsidP="00F63743">
      <w:pPr>
        <w:rPr>
          <w:rFonts w:ascii="Times New Roman" w:hAnsi="Times New Roman" w:cs="Times New Roman"/>
        </w:rPr>
      </w:pPr>
      <w:r w:rsidRPr="007D3274">
        <w:rPr>
          <w:rFonts w:ascii="Times New Roman" w:hAnsi="Times New Roman" w:cs="Times New Roman"/>
          <w:noProof/>
        </w:rPr>
        <w:fldChar w:fldCharType="begin">
          <w:ffData>
            <w:name w:val="NadOrgJedNaselje"/>
            <w:enabled/>
            <w:calcOnExit w:val="0"/>
            <w:textInput/>
          </w:ffData>
        </w:fldChar>
      </w:r>
      <w:bookmarkStart w:id="4" w:name="NadOrgJedNaselje"/>
      <w:r w:rsidRPr="007D3274">
        <w:rPr>
          <w:rFonts w:ascii="Times New Roman" w:hAnsi="Times New Roman" w:cs="Times New Roman"/>
          <w:noProof/>
        </w:rPr>
        <w:instrText xml:space="preserve"> FORMTEXT </w:instrText>
      </w:r>
      <w:r w:rsidRPr="007D3274">
        <w:rPr>
          <w:rFonts w:ascii="Times New Roman" w:hAnsi="Times New Roman" w:cs="Times New Roman"/>
          <w:noProof/>
        </w:rPr>
      </w:r>
      <w:r w:rsidRPr="007D3274">
        <w:rPr>
          <w:rFonts w:ascii="Times New Roman" w:hAnsi="Times New Roman" w:cs="Times New Roman"/>
          <w:noProof/>
        </w:rPr>
        <w:fldChar w:fldCharType="separate"/>
      </w:r>
      <w:r w:rsidRPr="007D3274">
        <w:rPr>
          <w:rFonts w:ascii="Times New Roman" w:hAnsi="Times New Roman" w:cs="Times New Roman"/>
          <w:noProof/>
        </w:rPr>
        <w:t>Zagreb</w:t>
      </w:r>
      <w:r w:rsidRPr="007D3274">
        <w:rPr>
          <w:rFonts w:ascii="Times New Roman" w:hAnsi="Times New Roman" w:cs="Times New Roman"/>
          <w:noProof/>
        </w:rPr>
        <w:fldChar w:fldCharType="end"/>
      </w:r>
      <w:bookmarkEnd w:id="4"/>
      <w:r w:rsidRPr="007D3274">
        <w:rPr>
          <w:rFonts w:ascii="Times New Roman" w:hAnsi="Times New Roman" w:cs="Times New Roman"/>
        </w:rPr>
        <w:t xml:space="preserve">, </w:t>
      </w:r>
      <w:r w:rsidRPr="007D3274">
        <w:rPr>
          <w:rFonts w:ascii="Times New Roman" w:hAnsi="Times New Roman" w:cs="Times New Roman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5" w:name="PismenoDatNastanka"/>
      <w:r w:rsidRPr="007D3274">
        <w:rPr>
          <w:rFonts w:ascii="Times New Roman" w:hAnsi="Times New Roman" w:cs="Times New Roman"/>
        </w:rPr>
        <w:instrText xml:space="preserve"> FORMTEXT </w:instrText>
      </w:r>
      <w:r w:rsidRPr="007D3274">
        <w:rPr>
          <w:rFonts w:ascii="Times New Roman" w:hAnsi="Times New Roman" w:cs="Times New Roman"/>
        </w:rPr>
      </w:r>
      <w:r w:rsidRPr="007D3274">
        <w:rPr>
          <w:rFonts w:ascii="Times New Roman" w:hAnsi="Times New Roman" w:cs="Times New Roman"/>
        </w:rPr>
        <w:fldChar w:fldCharType="separate"/>
      </w:r>
      <w:r w:rsidRPr="007D3274">
        <w:rPr>
          <w:rFonts w:ascii="Times New Roman" w:hAnsi="Times New Roman" w:cs="Times New Roman"/>
        </w:rPr>
        <w:t>02. travnja 2020.</w:t>
      </w:r>
      <w:r w:rsidRPr="007D3274">
        <w:rPr>
          <w:rFonts w:ascii="Times New Roman" w:hAnsi="Times New Roman" w:cs="Times New Roman"/>
        </w:rPr>
        <w:fldChar w:fldCharType="end"/>
      </w:r>
      <w:bookmarkEnd w:id="5"/>
      <w:r w:rsidRPr="007D3274">
        <w:rPr>
          <w:rFonts w:ascii="Times New Roman" w:hAnsi="Times New Roman" w:cs="Times New Roman"/>
        </w:rPr>
        <w:t xml:space="preserve"> godine</w:t>
      </w:r>
    </w:p>
    <w:sectPr w:rsidR="00F63743" w:rsidRPr="00C57EEA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fe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rolinaBar-B39-25F2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7AF0"/>
    <w:multiLevelType w:val="hybridMultilevel"/>
    <w:tmpl w:val="23FCE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1"/>
    <w:rsid w:val="007D3274"/>
    <w:rsid w:val="00873C21"/>
    <w:rsid w:val="008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9F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C3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34B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C34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34BA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D3274"/>
    <w:rPr>
      <w:color w:val="0563C1"/>
      <w:u w:val="single"/>
    </w:rPr>
  </w:style>
  <w:style w:type="paragraph" w:customStyle="1" w:styleId="Evidencija">
    <w:name w:val="Evidencija"/>
    <w:basedOn w:val="Normal"/>
    <w:rsid w:val="007D3274"/>
    <w:pPr>
      <w:spacing w:line="280" w:lineRule="exact"/>
    </w:pPr>
    <w:rPr>
      <w:rFonts w:ascii="Life L2" w:hAnsi="Life L2" w:cs="Times New Roman"/>
      <w:color w:val="auto"/>
      <w:sz w:val="20"/>
    </w:rPr>
  </w:style>
  <w:style w:type="paragraph" w:customStyle="1" w:styleId="Default">
    <w:name w:val="Default"/>
    <w:rsid w:val="007D3274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C3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34B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C34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34BA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D3274"/>
    <w:rPr>
      <w:color w:val="0563C1"/>
      <w:u w:val="single"/>
    </w:rPr>
  </w:style>
  <w:style w:type="paragraph" w:customStyle="1" w:styleId="Evidencija">
    <w:name w:val="Evidencija"/>
    <w:basedOn w:val="Normal"/>
    <w:rsid w:val="007D3274"/>
    <w:pPr>
      <w:spacing w:line="280" w:lineRule="exact"/>
    </w:pPr>
    <w:rPr>
      <w:rFonts w:ascii="Life L2" w:hAnsi="Life L2" w:cs="Times New Roman"/>
      <w:color w:val="auto"/>
      <w:sz w:val="20"/>
    </w:rPr>
  </w:style>
  <w:style w:type="paragraph" w:customStyle="1" w:styleId="Default">
    <w:name w:val="Default"/>
    <w:rsid w:val="007D3274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terpol.int/en/News-and-Events/News/2020/INTERPOL-warns-of-financial-fraud-linked-to-COVID-19" TargetMode="External"/><Relationship Id="rId12" Type="http://schemas.openxmlformats.org/officeDocument/2006/relationships/hyperlink" Target="https://www.europol.europa.eu/publications-documents/pandemic-profiteering-how-criminals-exploit-covid-19-crisi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wmf"/><Relationship Id="rId10" Type="http://schemas.openxmlformats.org/officeDocument/2006/relationships/hyperlink" Target="https://eba.europa.eu/sites/default/documents/files/document_library/News%20and%20Press/Press%20Room/Press%20Releases/2020/EBA%20provides%20additional%20clarity%20on%20measures%20to%20mitigate%20the%20impact%20of%20COVID-19%20on%20the%20EU%20banking%20sector/Statement%20on%20actions%20to%20mitigate%20financial%20crime%20risks%20in%20the%20COVID-19%20pandemic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9821037E4B4C908BCE81BC414AA8" ma:contentTypeVersion="0" ma:contentTypeDescription="Create a new document." ma:contentTypeScope="" ma:versionID="dadbcb38b82ce7f4482684d2543f0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DCDD8-0D00-49A1-81FE-F3D3A9A12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C5F02-C8F9-413A-9B5E-3C2A4B219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5F863-4CE8-478B-9446-36652ABDE5E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4892</Characters>
  <Application>Microsoft Macintosh Word</Application>
  <DocSecurity>4</DocSecurity>
  <Lines>101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Nataša Barac</cp:lastModifiedBy>
  <cp:revision>2</cp:revision>
  <cp:lastPrinted>2014-01-14T16:40:00Z</cp:lastPrinted>
  <dcterms:created xsi:type="dcterms:W3CDTF">2020-04-02T12:55:00Z</dcterms:created>
  <dcterms:modified xsi:type="dcterms:W3CDTF">2020-04-02T12:55:00Z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0x01010023C89821037E4B4C908BCE81BC414AA8</vt:lpwstr>
  </property>
</Properties>
</file>